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2F" w:rsidRPr="00086DBB" w:rsidRDefault="00086DB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de-DE"/>
        </w:rPr>
        <w:drawing>
          <wp:inline distT="0" distB="0" distL="0" distR="0" wp14:anchorId="4829D068">
            <wp:extent cx="1487805" cy="9937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6DBB">
        <w:rPr>
          <w:b/>
          <w:sz w:val="32"/>
          <w:szCs w:val="32"/>
        </w:rPr>
        <w:t>ElderCare-Steinfeld</w:t>
      </w:r>
      <w:r w:rsidR="00FC7231">
        <w:rPr>
          <w:b/>
          <w:sz w:val="32"/>
          <w:szCs w:val="32"/>
        </w:rPr>
        <w:t xml:space="preserve"> - Beruf und Pflege vereinbaren</w:t>
      </w:r>
    </w:p>
    <w:p w:rsidR="00C53616" w:rsidRDefault="00B33D4F" w:rsidP="00887039">
      <w:pPr>
        <w:rPr>
          <w:sz w:val="24"/>
          <w:szCs w:val="24"/>
        </w:rPr>
      </w:pPr>
      <w:r w:rsidRPr="00174D9C">
        <w:rPr>
          <w:sz w:val="24"/>
          <w:szCs w:val="24"/>
        </w:rPr>
        <w:t>Während viele</w:t>
      </w:r>
      <w:r w:rsidR="00887039" w:rsidRPr="00174D9C">
        <w:rPr>
          <w:sz w:val="24"/>
          <w:szCs w:val="24"/>
        </w:rPr>
        <w:t xml:space="preserve"> Unternehmen bereits viele Unterstützungssysteme für Berufstätige mit Kindern installiert haben, ist das Thema Vereinbarkeit von Beruf und Pflege häufig noch nicht in Programme umgesetzt. </w:t>
      </w:r>
    </w:p>
    <w:p w:rsidR="00887039" w:rsidRPr="00174D9C" w:rsidRDefault="00887039" w:rsidP="00887039">
      <w:pPr>
        <w:rPr>
          <w:sz w:val="24"/>
          <w:szCs w:val="24"/>
        </w:rPr>
      </w:pPr>
      <w:r w:rsidRPr="00174D9C">
        <w:rPr>
          <w:sz w:val="24"/>
          <w:szCs w:val="24"/>
        </w:rPr>
        <w:t>Infolge der demografischen und soziokulturellen Ve</w:t>
      </w:r>
      <w:r w:rsidR="00BF03B3" w:rsidRPr="00174D9C">
        <w:rPr>
          <w:sz w:val="24"/>
          <w:szCs w:val="24"/>
        </w:rPr>
        <w:t>ränderungen in der Gesellschaft</w:t>
      </w:r>
      <w:r w:rsidRPr="00174D9C">
        <w:rPr>
          <w:sz w:val="24"/>
          <w:szCs w:val="24"/>
        </w:rPr>
        <w:t xml:space="preserve"> nimmt die Zahl der pflegebedürftigen älteren Menschen </w:t>
      </w:r>
      <w:r w:rsidR="00086DBB" w:rsidRPr="00174D9C">
        <w:rPr>
          <w:sz w:val="24"/>
          <w:szCs w:val="24"/>
        </w:rPr>
        <w:t xml:space="preserve">jedoch </w:t>
      </w:r>
      <w:r w:rsidRPr="00174D9C">
        <w:rPr>
          <w:sz w:val="24"/>
          <w:szCs w:val="24"/>
        </w:rPr>
        <w:t>immer mehr zu. So betreut oder pflegt bereits jeder fünfte Berufstätige einen nahen Angehörigen, in der Gruppe der 45-59 jährigen sind es bereits 28 % der Beschäftigten (Allensbach 2010). Das Thema „Vereinbarkeit von Erwerbstätigkeit und Pflege“ wird in der Personalpolitik der Unternehmen eine zunehmende Rolle spielen.</w:t>
      </w:r>
    </w:p>
    <w:p w:rsidR="00086DBB" w:rsidRPr="00174D9C" w:rsidRDefault="00EC6B2F" w:rsidP="00086DBB">
      <w:pPr>
        <w:rPr>
          <w:sz w:val="24"/>
          <w:szCs w:val="24"/>
        </w:rPr>
      </w:pPr>
      <w:r w:rsidRPr="00174D9C">
        <w:rPr>
          <w:sz w:val="24"/>
          <w:szCs w:val="24"/>
        </w:rPr>
        <w:t>Die Betreuung und Pflege e</w:t>
      </w:r>
      <w:r w:rsidR="00887039" w:rsidRPr="00174D9C">
        <w:rPr>
          <w:sz w:val="24"/>
          <w:szCs w:val="24"/>
        </w:rPr>
        <w:t>ines Angehörigen bedeutet</w:t>
      </w:r>
      <w:r w:rsidRPr="00174D9C">
        <w:rPr>
          <w:sz w:val="24"/>
          <w:szCs w:val="24"/>
        </w:rPr>
        <w:t xml:space="preserve"> eine zusätzliche Belastung zu den gestiegenen Anforderungen im Erwerbsleben.</w:t>
      </w:r>
      <w:r w:rsidR="00887039" w:rsidRPr="00174D9C">
        <w:rPr>
          <w:sz w:val="24"/>
          <w:szCs w:val="24"/>
        </w:rPr>
        <w:t xml:space="preserve"> </w:t>
      </w:r>
      <w:r w:rsidRPr="00174D9C">
        <w:rPr>
          <w:sz w:val="24"/>
          <w:szCs w:val="24"/>
        </w:rPr>
        <w:t>Ob sich diese Belastung negativ auf die Arbeitskraft auswirkt, hängt sehr davon ab, welches Informations-, Beratungs- und Un</w:t>
      </w:r>
      <w:r w:rsidR="00086DBB" w:rsidRPr="00174D9C">
        <w:rPr>
          <w:sz w:val="24"/>
          <w:szCs w:val="24"/>
        </w:rPr>
        <w:t xml:space="preserve">terstützungsangebot der pflegende Beschäftigte erhält. </w:t>
      </w:r>
      <w:r w:rsidR="00A5706D" w:rsidRPr="00174D9C">
        <w:rPr>
          <w:sz w:val="24"/>
          <w:szCs w:val="24"/>
        </w:rPr>
        <w:t>Möglich wird eine gute Vereinbarkeit von Beruf und Pflege durch das Schaffen eines firmenint</w:t>
      </w:r>
      <w:r w:rsidR="00086DBB" w:rsidRPr="00174D9C">
        <w:rPr>
          <w:sz w:val="24"/>
          <w:szCs w:val="24"/>
        </w:rPr>
        <w:t>ernen Unterstützungsnetzes.</w:t>
      </w:r>
    </w:p>
    <w:p w:rsidR="00887039" w:rsidRPr="00174D9C" w:rsidRDefault="00887039" w:rsidP="00086DBB">
      <w:pPr>
        <w:rPr>
          <w:sz w:val="24"/>
          <w:szCs w:val="24"/>
        </w:rPr>
      </w:pPr>
      <w:r w:rsidRPr="005D6369">
        <w:rPr>
          <w:b/>
          <w:sz w:val="24"/>
          <w:szCs w:val="24"/>
        </w:rPr>
        <w:t>ElderCare-Steinfeld</w:t>
      </w:r>
      <w:r w:rsidRPr="00174D9C">
        <w:rPr>
          <w:sz w:val="24"/>
          <w:szCs w:val="24"/>
        </w:rPr>
        <w:t xml:space="preserve"> hat dazu unterschiedl</w:t>
      </w:r>
      <w:r w:rsidR="00A5706D" w:rsidRPr="00174D9C">
        <w:rPr>
          <w:sz w:val="24"/>
          <w:szCs w:val="24"/>
        </w:rPr>
        <w:t xml:space="preserve">iche Angebotsmodule wie Seminarangebote, Schulung betrieblicher Ansprechpartner (Pflege-Guide), </w:t>
      </w:r>
      <w:r w:rsidR="00086DBB" w:rsidRPr="00174D9C">
        <w:rPr>
          <w:sz w:val="24"/>
          <w:szCs w:val="24"/>
        </w:rPr>
        <w:t xml:space="preserve">Beratungshotline, </w:t>
      </w:r>
      <w:r w:rsidR="00A5706D" w:rsidRPr="00174D9C">
        <w:rPr>
          <w:sz w:val="24"/>
          <w:szCs w:val="24"/>
        </w:rPr>
        <w:t xml:space="preserve">Workshops für Personalverantwortliche etc. entwickelt. </w:t>
      </w:r>
      <w:r w:rsidRPr="00174D9C">
        <w:rPr>
          <w:sz w:val="24"/>
          <w:szCs w:val="24"/>
        </w:rPr>
        <w:t xml:space="preserve">Dieses Unterstützungsangebot schafft </w:t>
      </w:r>
      <w:r w:rsidR="00A5706D" w:rsidRPr="00174D9C">
        <w:rPr>
          <w:sz w:val="24"/>
          <w:szCs w:val="24"/>
        </w:rPr>
        <w:t xml:space="preserve">zum einen </w:t>
      </w:r>
      <w:r w:rsidRPr="00174D9C">
        <w:rPr>
          <w:sz w:val="24"/>
          <w:szCs w:val="24"/>
        </w:rPr>
        <w:t>für Unternehmen verlässliche Handlungsgrundlagen, die eine Vereinbarkeit von Erwerbstätigkeit und Pflege ermöglichen</w:t>
      </w:r>
      <w:r w:rsidR="00A5706D" w:rsidRPr="00174D9C">
        <w:rPr>
          <w:sz w:val="24"/>
          <w:szCs w:val="24"/>
        </w:rPr>
        <w:t xml:space="preserve">. Zum anderen schafft es </w:t>
      </w:r>
      <w:r w:rsidRPr="00174D9C">
        <w:rPr>
          <w:sz w:val="24"/>
          <w:szCs w:val="24"/>
        </w:rPr>
        <w:t xml:space="preserve">Arbeitsbedingungen für ein ausgewogenes Miteinander von Beruf und Familie im Sinne von </w:t>
      </w:r>
      <w:r w:rsidR="00A5706D" w:rsidRPr="00174D9C">
        <w:rPr>
          <w:sz w:val="24"/>
          <w:szCs w:val="24"/>
        </w:rPr>
        <w:t xml:space="preserve">Erhaltung der Arbeitskraft und </w:t>
      </w:r>
      <w:r w:rsidRPr="00174D9C">
        <w:rPr>
          <w:sz w:val="24"/>
          <w:szCs w:val="24"/>
        </w:rPr>
        <w:t>Chancengleichheit und damit auch einen Wettbewerbsvorteil bei der Suche nach Fachkräften.</w:t>
      </w:r>
    </w:p>
    <w:p w:rsidR="00EC6B2F" w:rsidRPr="00174D9C" w:rsidRDefault="00A5706D" w:rsidP="00EC6B2F">
      <w:pPr>
        <w:rPr>
          <w:sz w:val="24"/>
          <w:szCs w:val="24"/>
        </w:rPr>
      </w:pPr>
      <w:r w:rsidRPr="00174D9C">
        <w:rPr>
          <w:sz w:val="24"/>
          <w:szCs w:val="24"/>
        </w:rPr>
        <w:t xml:space="preserve">Das Unternehmen </w:t>
      </w:r>
      <w:r w:rsidRPr="005D6369">
        <w:rPr>
          <w:b/>
          <w:sz w:val="24"/>
          <w:szCs w:val="24"/>
        </w:rPr>
        <w:t>ElderCare-Steinfeld</w:t>
      </w:r>
      <w:r w:rsidRPr="00174D9C">
        <w:rPr>
          <w:sz w:val="24"/>
          <w:szCs w:val="24"/>
        </w:rPr>
        <w:t xml:space="preserve"> wurde bereits 2007 gegründet und verfügt über Erfah</w:t>
      </w:r>
      <w:r w:rsidR="00086DBB" w:rsidRPr="00174D9C">
        <w:rPr>
          <w:sz w:val="24"/>
          <w:szCs w:val="24"/>
        </w:rPr>
        <w:t xml:space="preserve">rung aus mehr als 800 Seminaren </w:t>
      </w:r>
      <w:r w:rsidRPr="00174D9C">
        <w:rPr>
          <w:sz w:val="24"/>
          <w:szCs w:val="24"/>
        </w:rPr>
        <w:t xml:space="preserve">in </w:t>
      </w:r>
      <w:r w:rsidR="00A343A7" w:rsidRPr="00174D9C">
        <w:rPr>
          <w:sz w:val="24"/>
          <w:szCs w:val="24"/>
        </w:rPr>
        <w:t>(</w:t>
      </w:r>
      <w:r w:rsidRPr="00174D9C">
        <w:rPr>
          <w:sz w:val="24"/>
          <w:szCs w:val="24"/>
        </w:rPr>
        <w:t>DAX</w:t>
      </w:r>
      <w:r w:rsidR="00A343A7" w:rsidRPr="00174D9C">
        <w:rPr>
          <w:sz w:val="24"/>
          <w:szCs w:val="24"/>
        </w:rPr>
        <w:t>)</w:t>
      </w:r>
      <w:r w:rsidRPr="00174D9C">
        <w:rPr>
          <w:sz w:val="24"/>
          <w:szCs w:val="24"/>
        </w:rPr>
        <w:t xml:space="preserve"> Unternehmen, KMU und Verwaltungen.</w:t>
      </w:r>
    </w:p>
    <w:p w:rsidR="00EC6B2F" w:rsidRPr="005D6369" w:rsidRDefault="00A5706D">
      <w:pPr>
        <w:rPr>
          <w:b/>
          <w:sz w:val="24"/>
          <w:szCs w:val="24"/>
        </w:rPr>
      </w:pPr>
      <w:r w:rsidRPr="00174D9C">
        <w:rPr>
          <w:b/>
          <w:sz w:val="24"/>
          <w:szCs w:val="24"/>
        </w:rPr>
        <w:t xml:space="preserve">Weiterführende Informationen finden Sie unter </w:t>
      </w:r>
      <w:hyperlink r:id="rId7" w:history="1">
        <w:r w:rsidR="002F0219" w:rsidRPr="00174D9C">
          <w:rPr>
            <w:rStyle w:val="Hyperlink"/>
            <w:b/>
            <w:sz w:val="24"/>
            <w:szCs w:val="24"/>
          </w:rPr>
          <w:t>www.eldercare-steinfeld.de</w:t>
        </w:r>
      </w:hyperlink>
    </w:p>
    <w:sectPr w:rsidR="00EC6B2F" w:rsidRPr="005D6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35AD"/>
    <w:multiLevelType w:val="hybridMultilevel"/>
    <w:tmpl w:val="E1FE52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33"/>
    <w:rsid w:val="00086DBB"/>
    <w:rsid w:val="00153C33"/>
    <w:rsid w:val="00174D9C"/>
    <w:rsid w:val="002F0219"/>
    <w:rsid w:val="005D6369"/>
    <w:rsid w:val="008526B1"/>
    <w:rsid w:val="00852724"/>
    <w:rsid w:val="00887039"/>
    <w:rsid w:val="00A343A7"/>
    <w:rsid w:val="00A5706D"/>
    <w:rsid w:val="00B33D4F"/>
    <w:rsid w:val="00BF03B3"/>
    <w:rsid w:val="00C53616"/>
    <w:rsid w:val="00EC6B2F"/>
    <w:rsid w:val="00ED3ECA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706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DB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706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DB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dercare-steinfe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Andriessens</cp:lastModifiedBy>
  <cp:revision>2</cp:revision>
  <cp:lastPrinted>2015-05-12T13:47:00Z</cp:lastPrinted>
  <dcterms:created xsi:type="dcterms:W3CDTF">2015-06-08T09:04:00Z</dcterms:created>
  <dcterms:modified xsi:type="dcterms:W3CDTF">2015-06-08T09:04:00Z</dcterms:modified>
</cp:coreProperties>
</file>